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E88B599"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E8014D">
        <w:rPr>
          <w:bCs/>
          <w:noProof w:val="0"/>
          <w:sz w:val="24"/>
          <w:szCs w:val="24"/>
        </w:rPr>
        <w:t>02269</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0AAB0B5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593805">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8BE526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93805">
        <w:rPr>
          <w:rFonts w:ascii="Arial" w:hAnsi="Arial" w:cs="Arial"/>
          <w:b/>
          <w:bCs/>
          <w:sz w:val="24"/>
        </w:rPr>
        <w:t>On configuration of p-</w:t>
      </w:r>
      <w:proofErr w:type="spellStart"/>
      <w:r w:rsidR="00593805">
        <w:rPr>
          <w:rFonts w:ascii="Arial" w:hAnsi="Arial" w:cs="Arial"/>
          <w:b/>
          <w:bCs/>
          <w:sz w:val="24"/>
        </w:rPr>
        <w:t>MaxEUTRA</w:t>
      </w:r>
      <w:proofErr w:type="spellEnd"/>
      <w:r w:rsidR="00593805">
        <w:rPr>
          <w:rFonts w:ascii="Arial" w:hAnsi="Arial" w:cs="Arial"/>
          <w:b/>
          <w:bCs/>
          <w:sz w:val="24"/>
        </w:rPr>
        <w:t xml:space="preserve"> and p-NR-FR1</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55A8CFC9" w:rsidR="00056BDE" w:rsidRDefault="00593805" w:rsidP="00056BDE">
      <w:r>
        <w:t xml:space="preserve">RAN5 sent an LS to RAN1, RAN2 and RAN4 on configuration of </w:t>
      </w:r>
      <w:r w:rsidRPr="00593805">
        <w:rPr>
          <w:i/>
          <w:iCs/>
        </w:rPr>
        <w:t>p-</w:t>
      </w:r>
      <w:proofErr w:type="spellStart"/>
      <w:r w:rsidRPr="00593805">
        <w:rPr>
          <w:i/>
          <w:iCs/>
        </w:rPr>
        <w:t>MaxEUTRA</w:t>
      </w:r>
      <w:proofErr w:type="spellEnd"/>
      <w:r>
        <w:t xml:space="preserve"> and </w:t>
      </w:r>
      <w:r w:rsidRPr="00593805">
        <w:rPr>
          <w:i/>
          <w:iCs/>
        </w:rPr>
        <w:t xml:space="preserve">p-NR-FR1 </w:t>
      </w:r>
      <w:r>
        <w:t xml:space="preserve">when the UE is configured with EN-DC in </w:t>
      </w:r>
      <w:hyperlink r:id="rId13" w:history="1">
        <w:r w:rsidRPr="00593805">
          <w:rPr>
            <w:rStyle w:val="Hyperlink"/>
          </w:rPr>
          <w:t>R1-2200873/R5-217995</w:t>
        </w:r>
      </w:hyperlink>
      <w:r>
        <w:t>. According to the LS: “</w:t>
      </w:r>
      <w:r w:rsidRPr="00593805">
        <w:rPr>
          <w:i/>
          <w:iCs/>
        </w:rPr>
        <w:t xml:space="preserve">There are different opinions on whether the IEs </w:t>
      </w:r>
      <w:r w:rsidRPr="00870C63">
        <w:t>p-</w:t>
      </w:r>
      <w:proofErr w:type="spellStart"/>
      <w:r w:rsidRPr="00870C63">
        <w:t>MaxEUTRA</w:t>
      </w:r>
      <w:proofErr w:type="spellEnd"/>
      <w:r w:rsidRPr="00593805">
        <w:rPr>
          <w:i/>
          <w:iCs/>
        </w:rPr>
        <w:t xml:space="preserve"> and </w:t>
      </w:r>
      <w:r w:rsidRPr="00870C63">
        <w:t>p-NR-FR1</w:t>
      </w:r>
      <w:r w:rsidRPr="00593805">
        <w:rPr>
          <w:i/>
          <w:iCs/>
        </w:rPr>
        <w:t xml:space="preserve"> shall be configured by the network when UE works in EN-DC connectivity mode</w:t>
      </w:r>
      <w:r w:rsidRPr="00593805">
        <w:t>.</w:t>
      </w:r>
      <w:r>
        <w:t>”</w:t>
      </w:r>
    </w:p>
    <w:tbl>
      <w:tblPr>
        <w:tblStyle w:val="TableGrid"/>
        <w:tblW w:w="0" w:type="auto"/>
        <w:tblLook w:val="04A0" w:firstRow="1" w:lastRow="0" w:firstColumn="1" w:lastColumn="0" w:noHBand="0" w:noVBand="1"/>
      </w:tblPr>
      <w:tblGrid>
        <w:gridCol w:w="9629"/>
      </w:tblGrid>
      <w:tr w:rsidR="00593805" w14:paraId="7C7AE08D" w14:textId="77777777" w:rsidTr="00593805">
        <w:tc>
          <w:tcPr>
            <w:tcW w:w="9629" w:type="dxa"/>
          </w:tcPr>
          <w:p w14:paraId="3770D371" w14:textId="77777777" w:rsidR="00593805" w:rsidRPr="00593805" w:rsidRDefault="00593805" w:rsidP="00593805">
            <w:pPr>
              <w:pStyle w:val="Header"/>
              <w:spacing w:afterLines="50" w:after="120"/>
              <w:rPr>
                <w:rFonts w:cs="Arial"/>
                <w:b w:val="0"/>
                <w:bCs/>
                <w:lang w:eastAsia="zh-CN"/>
              </w:rPr>
            </w:pPr>
            <w:r w:rsidRPr="00593805">
              <w:rPr>
                <w:rFonts w:cs="Arial"/>
                <w:b w:val="0"/>
                <w:bCs/>
                <w:lang w:eastAsia="zh-CN"/>
              </w:rPr>
              <w:t>According to clause 7.6.1 of TS 38.213, the IEs p-MaxEUTRA and p-NR-FR1 shall be configured to UE so that UE could determine the power transmission behaviour in the SCG, such as scaling down or dropping the transmission.</w:t>
            </w:r>
          </w:p>
          <w:p w14:paraId="4778B314" w14:textId="24529ABA" w:rsidR="00593805" w:rsidRPr="00593805" w:rsidRDefault="00593805" w:rsidP="00593805">
            <w:pPr>
              <w:pStyle w:val="Header"/>
              <w:spacing w:afterLines="50" w:after="120"/>
              <w:rPr>
                <w:rFonts w:cs="Arial"/>
                <w:lang w:eastAsia="zh-CN"/>
              </w:rPr>
            </w:pPr>
            <w:r w:rsidRPr="00593805">
              <w:rPr>
                <w:rFonts w:cs="Arial"/>
                <w:b w:val="0"/>
                <w:bCs/>
                <w:lang w:eastAsia="zh-CN"/>
              </w:rPr>
              <w:t>However there is an opinion that those IEs are indicated as optional in TS 36.331 and TS 38.331 and that UE operation for the PC 1.5 UE is specified by the normative text in TS 38.101-3 clauses 6.2B.1.1 and 6.2B.4.1.1. In addition some company believes if IEs p-MaxEUTRA and p-NR-FR1 are absent, value of 26dBm should be assumed and used as the default, although no default value is specified in TS 36.331 and TS 38.331.</w:t>
            </w:r>
          </w:p>
        </w:tc>
      </w:tr>
    </w:tbl>
    <w:p w14:paraId="4838487B" w14:textId="768A8EA6" w:rsidR="00593805" w:rsidRDefault="00593805" w:rsidP="00056BDE"/>
    <w:p w14:paraId="68269AEF" w14:textId="77777777" w:rsidR="00593805" w:rsidRPr="00114DDE" w:rsidRDefault="00593805" w:rsidP="00593805">
      <w:pPr>
        <w:spacing w:after="120"/>
        <w:ind w:left="993" w:hanging="993"/>
        <w:rPr>
          <w:rFonts w:ascii="Arial" w:hAnsi="Arial" w:cs="Arial"/>
        </w:rPr>
      </w:pPr>
      <w:r w:rsidRPr="00F73B43">
        <w:rPr>
          <w:rFonts w:ascii="Arial" w:hAnsi="Arial" w:cs="Arial"/>
          <w:b/>
        </w:rPr>
        <w:t xml:space="preserve">ACTION: </w:t>
      </w:r>
      <w:r w:rsidRPr="00F73B43">
        <w:rPr>
          <w:rFonts w:ascii="Arial" w:hAnsi="Arial" w:cs="Arial"/>
          <w:b/>
        </w:rPr>
        <w:tab/>
      </w:r>
      <w:r w:rsidRPr="00F73B43">
        <w:rPr>
          <w:rFonts w:ascii="Arial" w:hAnsi="Arial" w:cs="Arial"/>
        </w:rPr>
        <w:t xml:space="preserve">RAN5 kindly request RAN1 </w:t>
      </w:r>
      <w:r w:rsidRPr="00F32020">
        <w:rPr>
          <w:rFonts w:ascii="Arial" w:hAnsi="Arial" w:cs="Arial"/>
        </w:rPr>
        <w:t>feedback on whether the RAN1 specifications require that the IEs p-</w:t>
      </w:r>
      <w:proofErr w:type="spellStart"/>
      <w:r w:rsidRPr="00F32020">
        <w:rPr>
          <w:rFonts w:ascii="Arial" w:hAnsi="Arial" w:cs="Arial"/>
        </w:rPr>
        <w:t>MaxEUTRA</w:t>
      </w:r>
      <w:proofErr w:type="spellEnd"/>
      <w:r w:rsidRPr="00F32020">
        <w:rPr>
          <w:rFonts w:ascii="Arial" w:hAnsi="Arial" w:cs="Arial"/>
        </w:rPr>
        <w:t xml:space="preserve"> and p-NR-FR1 are always configured by the network when UE works in EN-DC connectivity mode</w:t>
      </w:r>
      <w:r w:rsidRPr="00114DDE">
        <w:rPr>
          <w:rFonts w:ascii="Arial" w:hAnsi="Arial" w:cs="Arial"/>
        </w:rPr>
        <w:t>.</w:t>
      </w:r>
    </w:p>
    <w:p w14:paraId="3C8F7FCC" w14:textId="77777777" w:rsidR="00593805" w:rsidRDefault="00593805" w:rsidP="00056BDE"/>
    <w:p w14:paraId="71230483" w14:textId="10B2755A" w:rsidR="00305297" w:rsidRDefault="007820D0" w:rsidP="00A23DCA">
      <w:pPr>
        <w:pStyle w:val="Heading1"/>
      </w:pPr>
      <w:bookmarkStart w:id="1" w:name="_Hlk510705081"/>
      <w:r>
        <w:t>Discussion</w:t>
      </w:r>
      <w:r w:rsidR="0005542F">
        <w:t>, Observations and Proposals</w:t>
      </w:r>
    </w:p>
    <w:p w14:paraId="73A82122" w14:textId="5D02C619" w:rsidR="001F201D" w:rsidRDefault="00593805" w:rsidP="001F201D">
      <w:r>
        <w:t xml:space="preserve">38.213 can be </w:t>
      </w:r>
      <w:r w:rsidR="00F03844">
        <w:t>read so that it is trying to imply that</w:t>
      </w:r>
      <w:r>
        <w:t xml:space="preserve"> the network </w:t>
      </w:r>
      <w:r w:rsidR="00F03844">
        <w:t xml:space="preserve">would need </w:t>
      </w:r>
      <w:r>
        <w:t xml:space="preserve">to configure the two parameters to the UE when it is the EN-DC mode. However, the parameters are only relevant when the </w:t>
      </w:r>
      <w:proofErr w:type="spellStart"/>
      <w:r>
        <w:t>gNB</w:t>
      </w:r>
      <w:proofErr w:type="spellEnd"/>
      <w:r>
        <w:t xml:space="preserve"> wants to </w:t>
      </w:r>
      <w:proofErr w:type="spellStart"/>
      <w:r>
        <w:t>configfure</w:t>
      </w:r>
      <w:proofErr w:type="spellEnd"/>
      <w:r>
        <w:t xml:space="preserve"> a semi-static power sharing mode, or in dynamic power sharing mode the overall Tx power of one or both RATs </w:t>
      </w:r>
      <w:proofErr w:type="gramStart"/>
      <w:r>
        <w:t>needs</w:t>
      </w:r>
      <w:proofErr w:type="gramEnd"/>
      <w:r>
        <w:t xml:space="preserve"> to be limited below the nominal maximum for whatever reason.</w:t>
      </w:r>
    </w:p>
    <w:p w14:paraId="3CF86BAC" w14:textId="6D99BB63" w:rsidR="00F03844" w:rsidRPr="00F03844" w:rsidRDefault="00E8014D" w:rsidP="001F201D">
      <w:r>
        <w:t xml:space="preserve">There is no reason to require the configuration of </w:t>
      </w:r>
      <w:r w:rsidRPr="00593805">
        <w:rPr>
          <w:i/>
          <w:iCs/>
        </w:rPr>
        <w:t>p-</w:t>
      </w:r>
      <w:proofErr w:type="spellStart"/>
      <w:r w:rsidRPr="00593805">
        <w:rPr>
          <w:i/>
          <w:iCs/>
        </w:rPr>
        <w:t>MaxEUTRA</w:t>
      </w:r>
      <w:proofErr w:type="spellEnd"/>
      <w:r>
        <w:t xml:space="preserve"> and </w:t>
      </w:r>
      <w:r w:rsidRPr="00593805">
        <w:rPr>
          <w:i/>
          <w:iCs/>
        </w:rPr>
        <w:t xml:space="preserve">p-NR-FR1 </w:t>
      </w:r>
      <w:r>
        <w:t>for dynamic power sharing case</w:t>
      </w:r>
      <w:r w:rsidR="00F03844">
        <w:t xml:space="preserve"> (subject to UE capability), or if the LTE and NR uplink transmissions are time multiplexed</w:t>
      </w:r>
      <w:r>
        <w:t>.</w:t>
      </w:r>
      <w:r w:rsidR="00F03844">
        <w:t xml:space="preserve"> </w:t>
      </w:r>
      <w:r w:rsidR="00F03844">
        <w:t xml:space="preserve">If the parameters are not configured, the UE behaviour should be clear, each RAT follows the rated power class and dynamic power sharing is applied. </w:t>
      </w:r>
      <w:r w:rsidR="00F03844">
        <w:t xml:space="preserve">Furthermore, this was not the original RAN1 intention, as agreed </w:t>
      </w:r>
      <w:proofErr w:type="spellStart"/>
      <w:r w:rsidR="00F03844">
        <w:t>iun</w:t>
      </w:r>
      <w:proofErr w:type="spellEnd"/>
      <w:r w:rsidR="00F03844">
        <w:t xml:space="preserve"> RAN1#90, where the agreement </w:t>
      </w:r>
      <w:r w:rsidR="009371C0">
        <w:t>should be understood so</w:t>
      </w:r>
      <w:r w:rsidR="00F03844">
        <w:t xml:space="preserve"> that the </w:t>
      </w:r>
      <w:r w:rsidR="00F03844" w:rsidRPr="00593805">
        <w:rPr>
          <w:i/>
          <w:iCs/>
        </w:rPr>
        <w:t>p-</w:t>
      </w:r>
      <w:proofErr w:type="spellStart"/>
      <w:r w:rsidR="00F03844" w:rsidRPr="00593805">
        <w:rPr>
          <w:i/>
          <w:iCs/>
        </w:rPr>
        <w:t>MaxEUTRA</w:t>
      </w:r>
      <w:proofErr w:type="spellEnd"/>
      <w:r w:rsidR="00F03844">
        <w:t xml:space="preserve"> and </w:t>
      </w:r>
      <w:r w:rsidR="00F03844" w:rsidRPr="00593805">
        <w:rPr>
          <w:i/>
          <w:iCs/>
        </w:rPr>
        <w:t>p-NR-</w:t>
      </w:r>
      <w:r w:rsidR="00F03844" w:rsidRPr="009371C0">
        <w:rPr>
          <w:i/>
          <w:iCs/>
        </w:rPr>
        <w:t xml:space="preserve">FR1 </w:t>
      </w:r>
      <w:r w:rsidR="00F03844" w:rsidRPr="009371C0">
        <w:t>can be configured</w:t>
      </w:r>
      <w:r w:rsidR="00F03844">
        <w:t xml:space="preserve"> up to their upper bound. </w:t>
      </w:r>
    </w:p>
    <w:tbl>
      <w:tblPr>
        <w:tblStyle w:val="TableGrid"/>
        <w:tblW w:w="0" w:type="auto"/>
        <w:tblLook w:val="04A0" w:firstRow="1" w:lastRow="0" w:firstColumn="1" w:lastColumn="0" w:noHBand="0" w:noVBand="1"/>
      </w:tblPr>
      <w:tblGrid>
        <w:gridCol w:w="9629"/>
      </w:tblGrid>
      <w:tr w:rsidR="00F03844" w14:paraId="71856712" w14:textId="77777777" w:rsidTr="00F03844">
        <w:tc>
          <w:tcPr>
            <w:tcW w:w="9629" w:type="dxa"/>
          </w:tcPr>
          <w:p w14:paraId="0005BA6D" w14:textId="0899CB03" w:rsidR="00F03844" w:rsidRDefault="00F03844" w:rsidP="00F03844">
            <w:pPr>
              <w:pStyle w:val="Heading4"/>
              <w:numPr>
                <w:ilvl w:val="0"/>
                <w:numId w:val="0"/>
              </w:numPr>
              <w:rPr>
                <w:rFonts w:eastAsia="MS Mincho"/>
                <w:b/>
                <w:lang w:eastAsia="ja-JP"/>
              </w:rPr>
            </w:pPr>
            <w:bookmarkStart w:id="2" w:name="_Toc490832597"/>
            <w:bookmarkStart w:id="3" w:name="_Toc491681454"/>
            <w:r>
              <w:rPr>
                <w:rFonts w:eastAsia="MS Mincho"/>
                <w:b/>
                <w:lang w:eastAsia="ja-JP"/>
              </w:rPr>
              <w:lastRenderedPageBreak/>
              <w:t>6.1.7.1</w:t>
            </w:r>
            <w:r>
              <w:tab/>
            </w:r>
            <w:r>
              <w:tab/>
            </w:r>
            <w:r>
              <w:rPr>
                <w:rFonts w:eastAsia="MS Mincho"/>
                <w:b/>
                <w:lang w:eastAsia="ja-JP"/>
              </w:rPr>
              <w:t>Power sharing mechanism</w:t>
            </w:r>
            <w:bookmarkEnd w:id="2"/>
            <w:bookmarkEnd w:id="3"/>
          </w:p>
          <w:p w14:paraId="76CDA243" w14:textId="77777777" w:rsidR="00F03844" w:rsidRDefault="00F03844" w:rsidP="00F03844">
            <w:pPr>
              <w:spacing w:after="0"/>
              <w:rPr>
                <w:rFonts w:eastAsia="MS Mincho"/>
                <w:i/>
                <w:lang w:eastAsia="ja-JP"/>
              </w:rPr>
            </w:pPr>
            <w:r>
              <w:rPr>
                <w:rFonts w:eastAsia="MS Mincho"/>
                <w:i/>
                <w:lang w:eastAsia="ja-JP"/>
              </w:rPr>
              <w:t xml:space="preserve">Including power sharing mechanism for LTE-NR dual connectivity, NR carrier aggregation and dual connectivity </w:t>
            </w:r>
          </w:p>
          <w:p w14:paraId="49D6ED29" w14:textId="77777777" w:rsidR="00F03844" w:rsidRDefault="00F03844" w:rsidP="00F03844">
            <w:pPr>
              <w:rPr>
                <w:rFonts w:eastAsia="MS Mincho"/>
                <w:i/>
                <w:lang w:eastAsia="ja-JP"/>
              </w:rPr>
            </w:pPr>
            <w:r>
              <w:rPr>
                <w:rFonts w:eastAsia="MS Mincho"/>
                <w:i/>
                <w:lang w:eastAsia="ja-JP"/>
              </w:rPr>
              <w:t>Limit to 1 contribution per 1 company/organization/university</w:t>
            </w:r>
          </w:p>
          <w:p w14:paraId="5555193B" w14:textId="77777777" w:rsidR="00F03844" w:rsidRDefault="00F03844" w:rsidP="00F03844">
            <w:pPr>
              <w:spacing w:after="0"/>
              <w:rPr>
                <w:rFonts w:eastAsia="MS Mincho"/>
                <w:lang w:eastAsia="ja-JP"/>
              </w:rPr>
            </w:pPr>
            <w:hyperlink r:id="rId14" w:history="1">
              <w:r>
                <w:rPr>
                  <w:rStyle w:val="Hyperlink"/>
                  <w:rFonts w:eastAsia="MS Mincho"/>
                  <w:b/>
                  <w:lang w:eastAsia="ja-JP"/>
                </w:rPr>
                <w:t>R1-1713289</w:t>
              </w:r>
            </w:hyperlink>
            <w:r>
              <w:rPr>
                <w:rFonts w:eastAsia="MS Mincho"/>
                <w:lang w:eastAsia="ja-JP"/>
              </w:rPr>
              <w:tab/>
              <w:t>Discussion on UL Power Sharing for LTE-NR Dual Connectivity</w:t>
            </w:r>
            <w:r>
              <w:rPr>
                <w:rFonts w:eastAsia="MS Mincho"/>
                <w:lang w:eastAsia="ja-JP"/>
              </w:rPr>
              <w:tab/>
              <w:t>Guangdong OPPO Mobile Telecom</w:t>
            </w:r>
          </w:p>
          <w:p w14:paraId="3CB5D662" w14:textId="77777777" w:rsidR="00F03844" w:rsidRDefault="00F03844" w:rsidP="00F03844">
            <w:pPr>
              <w:spacing w:after="0"/>
              <w:rPr>
                <w:rFonts w:eastAsia="MS Mincho"/>
                <w:lang w:eastAsia="ja-JP"/>
              </w:rPr>
            </w:pPr>
            <w:hyperlink r:id="rId15" w:history="1">
              <w:r>
                <w:rPr>
                  <w:rStyle w:val="Hyperlink"/>
                  <w:rFonts w:eastAsia="MS Mincho"/>
                  <w:b/>
                  <w:lang w:eastAsia="ja-JP"/>
                </w:rPr>
                <w:t>R1-1713478</w:t>
              </w:r>
            </w:hyperlink>
            <w:r>
              <w:rPr>
                <w:rFonts w:eastAsia="MS Mincho"/>
                <w:lang w:eastAsia="ja-JP"/>
              </w:rPr>
              <w:tab/>
              <w:t>Power sharing for LTE-NR dual connectivity</w:t>
            </w:r>
            <w:r>
              <w:rPr>
                <w:rFonts w:eastAsia="MS Mincho"/>
                <w:lang w:eastAsia="ja-JP"/>
              </w:rPr>
              <w:tab/>
              <w:t>Qualcomm Incorporated</w:t>
            </w:r>
          </w:p>
          <w:p w14:paraId="26EE414C" w14:textId="77777777" w:rsidR="00F03844" w:rsidRDefault="00F03844" w:rsidP="00F03844">
            <w:pPr>
              <w:spacing w:after="0"/>
              <w:rPr>
                <w:rFonts w:eastAsia="MS Mincho"/>
                <w:lang w:eastAsia="ja-JP"/>
              </w:rPr>
            </w:pPr>
            <w:hyperlink r:id="rId16" w:history="1">
              <w:r>
                <w:rPr>
                  <w:rStyle w:val="Hyperlink"/>
                  <w:rFonts w:eastAsia="MS Mincho"/>
                  <w:b/>
                  <w:lang w:eastAsia="ja-JP"/>
                </w:rPr>
                <w:t>R1-1714118</w:t>
              </w:r>
            </w:hyperlink>
            <w:r>
              <w:rPr>
                <w:rFonts w:eastAsia="MS Mincho"/>
                <w:lang w:eastAsia="ja-JP"/>
              </w:rPr>
              <w:tab/>
              <w:t>Power Sharing Mechanisms with LTE-NR DC and NR DC</w:t>
            </w:r>
            <w:r>
              <w:rPr>
                <w:rFonts w:eastAsia="MS Mincho"/>
                <w:lang w:eastAsia="ja-JP"/>
              </w:rPr>
              <w:tab/>
              <w:t>InterDigital, Inc.</w:t>
            </w:r>
          </w:p>
          <w:p w14:paraId="1D4BD654" w14:textId="77777777" w:rsidR="00F03844" w:rsidRDefault="00F03844" w:rsidP="00F03844">
            <w:pPr>
              <w:spacing w:after="0"/>
              <w:rPr>
                <w:rFonts w:eastAsia="MS Mincho"/>
                <w:lang w:eastAsia="ja-JP"/>
              </w:rPr>
            </w:pPr>
            <w:hyperlink r:id="rId17" w:history="1">
              <w:r>
                <w:rPr>
                  <w:rStyle w:val="Hyperlink"/>
                  <w:rFonts w:eastAsia="MS Mincho"/>
                  <w:b/>
                  <w:lang w:eastAsia="ja-JP"/>
                </w:rPr>
                <w:t>R1-1714460</w:t>
              </w:r>
            </w:hyperlink>
            <w:r>
              <w:rPr>
                <w:rFonts w:eastAsia="MS Mincho"/>
                <w:lang w:eastAsia="ja-JP"/>
              </w:rPr>
              <w:tab/>
              <w:t>Power Sharing for LTE-NR Dual connectivity</w:t>
            </w:r>
            <w:r>
              <w:rPr>
                <w:rFonts w:eastAsia="MS Mincho"/>
                <w:lang w:eastAsia="ja-JP"/>
              </w:rPr>
              <w:tab/>
              <w:t>Ericsson</w:t>
            </w:r>
          </w:p>
          <w:p w14:paraId="78DBEE5A" w14:textId="77777777" w:rsidR="00F03844" w:rsidRDefault="00F03844" w:rsidP="00F03844">
            <w:pPr>
              <w:spacing w:after="0"/>
              <w:rPr>
                <w:rFonts w:eastAsia="MS Mincho"/>
                <w:b/>
                <w:lang w:eastAsia="ja-JP"/>
              </w:rPr>
            </w:pPr>
          </w:p>
          <w:p w14:paraId="6056382E" w14:textId="22141E52" w:rsidR="00F03844" w:rsidRDefault="00F03844" w:rsidP="00F03844">
            <w:pPr>
              <w:spacing w:after="0"/>
              <w:rPr>
                <w:rFonts w:eastAsia="MS Mincho"/>
                <w:lang w:eastAsia="ja-JP"/>
              </w:rPr>
            </w:pPr>
            <w:hyperlink r:id="rId18" w:history="1">
              <w:r>
                <w:rPr>
                  <w:rStyle w:val="Hyperlink"/>
                  <w:rFonts w:eastAsia="MS Mincho"/>
                  <w:b/>
                  <w:lang w:eastAsia="ja-JP"/>
                </w:rPr>
                <w:t>R1-1715083</w:t>
              </w:r>
            </w:hyperlink>
            <w:r>
              <w:rPr>
                <w:rFonts w:eastAsia="MS Mincho"/>
                <w:b/>
                <w:lang w:eastAsia="ja-JP"/>
              </w:rPr>
              <w:tab/>
            </w:r>
            <w:r>
              <w:rPr>
                <w:rFonts w:eastAsia="MS Mincho"/>
                <w:lang w:eastAsia="ja-JP"/>
              </w:rPr>
              <w:t>WF on power sharing on MR-DC</w:t>
            </w:r>
            <w:r>
              <w:rPr>
                <w:rFonts w:eastAsia="MS Mincho"/>
                <w:lang w:eastAsia="ja-JP"/>
              </w:rPr>
              <w:tab/>
            </w:r>
            <w:r>
              <w:rPr>
                <w:rFonts w:eastAsia="MS Mincho"/>
                <w:lang w:eastAsia="ja-JP"/>
              </w:rPr>
              <w:tab/>
              <w:t xml:space="preserve">AT&amp;T, Bouygues Telecom, China Telecom, China Unicom, Deutsche Telekom, KT </w:t>
            </w:r>
            <w:proofErr w:type="gramStart"/>
            <w:r>
              <w:rPr>
                <w:rFonts w:eastAsia="MS Mincho"/>
                <w:lang w:eastAsia="ja-JP"/>
              </w:rPr>
              <w:t>Cop. ,</w:t>
            </w:r>
            <w:proofErr w:type="gramEnd"/>
            <w:r>
              <w:rPr>
                <w:rFonts w:eastAsia="MS Mincho"/>
                <w:lang w:eastAsia="ja-JP"/>
              </w:rPr>
              <w:t xml:space="preserve"> NTT-Docomo, Orange, Telecom Italia, T-Mobile USA, Vodafone, Sprint</w:t>
            </w:r>
          </w:p>
          <w:p w14:paraId="66B61CB1" w14:textId="77777777" w:rsidR="00F03844" w:rsidRDefault="00F03844" w:rsidP="00F03844">
            <w:pPr>
              <w:spacing w:after="0"/>
              <w:rPr>
                <w:rFonts w:eastAsia="MS Mincho"/>
                <w:lang w:val="en-US" w:eastAsia="ja-JP"/>
              </w:rPr>
            </w:pPr>
            <w:hyperlink r:id="rId19" w:history="1">
              <w:r>
                <w:rPr>
                  <w:rStyle w:val="Hyperlink"/>
                  <w:rFonts w:eastAsia="MS Mincho"/>
                  <w:b/>
                  <w:lang w:eastAsia="ja-JP"/>
                </w:rPr>
                <w:t>R1-1715090</w:t>
              </w:r>
            </w:hyperlink>
            <w:r>
              <w:rPr>
                <w:rFonts w:eastAsia="MS Mincho"/>
                <w:b/>
                <w:lang w:eastAsia="ja-JP"/>
              </w:rPr>
              <w:tab/>
            </w:r>
            <w:r>
              <w:rPr>
                <w:rFonts w:eastAsia="MS Mincho"/>
                <w:lang w:eastAsia="ja-JP"/>
              </w:rPr>
              <w:t>Way forward on power sharing for LTE-NR NSA operation</w:t>
            </w:r>
            <w:r>
              <w:rPr>
                <w:rFonts w:eastAsia="MS Mincho"/>
                <w:lang w:eastAsia="ja-JP"/>
              </w:rPr>
              <w:tab/>
            </w:r>
            <w:r>
              <w:rPr>
                <w:rFonts w:eastAsia="MS Mincho"/>
                <w:lang w:val="en-US" w:eastAsia="ja-JP"/>
              </w:rPr>
              <w:t>Ericsson, CATT, Nokia, NSB, Samsung, Huawei</w:t>
            </w:r>
          </w:p>
          <w:p w14:paraId="7377B1C0" w14:textId="77777777" w:rsidR="00F03844" w:rsidRDefault="00F03844" w:rsidP="00F03844">
            <w:pPr>
              <w:spacing w:after="0"/>
              <w:rPr>
                <w:rFonts w:eastAsia="MS Mincho"/>
                <w:lang w:val="en-US" w:eastAsia="ja-JP"/>
              </w:rPr>
            </w:pPr>
            <w:hyperlink r:id="rId20" w:history="1">
              <w:r>
                <w:rPr>
                  <w:rStyle w:val="Hyperlink"/>
                  <w:rFonts w:eastAsia="MS Mincho"/>
                  <w:b/>
                  <w:lang w:val="en-US" w:eastAsia="ja-JP"/>
                </w:rPr>
                <w:t>R1-1715185</w:t>
              </w:r>
            </w:hyperlink>
            <w:r>
              <w:rPr>
                <w:rFonts w:eastAsia="MS Mincho"/>
                <w:b/>
                <w:lang w:val="en-US" w:eastAsia="ja-JP"/>
              </w:rPr>
              <w:tab/>
            </w:r>
            <w:r>
              <w:rPr>
                <w:rFonts w:eastAsia="MS Mincho"/>
                <w:lang w:eastAsia="ja-JP"/>
              </w:rPr>
              <w:t>Way forward on power sharing for LTE-NR NSA operation</w:t>
            </w:r>
            <w:r>
              <w:rPr>
                <w:rFonts w:eastAsia="MS Mincho"/>
                <w:lang w:eastAsia="ja-JP"/>
              </w:rPr>
              <w:tab/>
            </w:r>
            <w:r>
              <w:rPr>
                <w:rFonts w:eastAsia="MS Mincho"/>
                <w:lang w:val="en-US" w:eastAsia="ja-JP"/>
              </w:rPr>
              <w:t xml:space="preserve">Ericsson, CATT, Samsung, </w:t>
            </w:r>
            <w:proofErr w:type="spellStart"/>
            <w:r>
              <w:rPr>
                <w:rFonts w:eastAsia="MS Mincho"/>
                <w:lang w:val="en-US" w:eastAsia="ja-JP"/>
              </w:rPr>
              <w:t>Mediatek</w:t>
            </w:r>
            <w:proofErr w:type="spellEnd"/>
            <w:r>
              <w:rPr>
                <w:rFonts w:eastAsia="MS Mincho"/>
                <w:lang w:val="en-US" w:eastAsia="ja-JP"/>
              </w:rPr>
              <w:t>, Nokia, NSB</w:t>
            </w:r>
          </w:p>
          <w:p w14:paraId="51EB11D4" w14:textId="77777777" w:rsidR="00F03844" w:rsidRDefault="00F03844" w:rsidP="00F03844">
            <w:pPr>
              <w:spacing w:after="0"/>
              <w:rPr>
                <w:rFonts w:eastAsia="MS Mincho"/>
                <w:lang w:val="en-US" w:eastAsia="ja-JP"/>
              </w:rPr>
            </w:pPr>
            <w:r>
              <w:rPr>
                <w:rFonts w:eastAsia="MS Mincho"/>
                <w:highlight w:val="green"/>
                <w:lang w:val="en-US" w:eastAsia="ja-JP"/>
              </w:rPr>
              <w:t>Agreements:</w:t>
            </w:r>
          </w:p>
          <w:p w14:paraId="4217CE41" w14:textId="77777777" w:rsidR="00F03844" w:rsidRDefault="00F03844" w:rsidP="00F03844">
            <w:pPr>
              <w:numPr>
                <w:ilvl w:val="0"/>
                <w:numId w:val="30"/>
              </w:numPr>
              <w:tabs>
                <w:tab w:val="left" w:pos="1440"/>
              </w:tabs>
              <w:overflowPunct/>
              <w:autoSpaceDE/>
              <w:autoSpaceDN/>
              <w:adjustRightInd/>
              <w:spacing w:after="0"/>
              <w:textAlignment w:val="auto"/>
              <w:rPr>
                <w:rFonts w:eastAsia="MS Mincho"/>
                <w:lang w:val="en-US" w:eastAsia="ja-JP"/>
              </w:rPr>
            </w:pPr>
            <w:r>
              <w:rPr>
                <w:rFonts w:eastAsia="MS Mincho"/>
                <w:lang w:val="en-US" w:eastAsia="ja-JP"/>
              </w:rPr>
              <w:t>At least for LTE-NR NSA operation</w:t>
            </w:r>
          </w:p>
          <w:p w14:paraId="26505E18" w14:textId="77777777" w:rsidR="00F03844" w:rsidRPr="00F03844" w:rsidRDefault="00F03844" w:rsidP="00F03844">
            <w:pPr>
              <w:numPr>
                <w:ilvl w:val="1"/>
                <w:numId w:val="30"/>
              </w:numPr>
              <w:tabs>
                <w:tab w:val="left" w:pos="1440"/>
              </w:tabs>
              <w:overflowPunct/>
              <w:autoSpaceDE/>
              <w:autoSpaceDN/>
              <w:adjustRightInd/>
              <w:spacing w:after="0"/>
              <w:textAlignment w:val="auto"/>
              <w:rPr>
                <w:rFonts w:eastAsia="MS Mincho"/>
                <w:highlight w:val="yellow"/>
                <w:lang w:val="en-US" w:eastAsia="ja-JP"/>
              </w:rPr>
            </w:pPr>
            <w:r w:rsidRPr="00F03844">
              <w:rPr>
                <w:rFonts w:eastAsia="MS Mincho"/>
                <w:highlight w:val="yellow"/>
                <w:lang w:val="en-US" w:eastAsia="ja-JP"/>
              </w:rPr>
              <w:t>Maximum allowed power values for LTE (P_LTE) and NR (P_NR) are set separately</w:t>
            </w:r>
          </w:p>
          <w:p w14:paraId="74368752" w14:textId="77777777" w:rsidR="00F03844" w:rsidRPr="00F03844" w:rsidRDefault="00F03844" w:rsidP="00F03844">
            <w:pPr>
              <w:numPr>
                <w:ilvl w:val="2"/>
                <w:numId w:val="30"/>
              </w:numPr>
              <w:tabs>
                <w:tab w:val="left" w:pos="1440"/>
              </w:tabs>
              <w:overflowPunct/>
              <w:autoSpaceDE/>
              <w:autoSpaceDN/>
              <w:adjustRightInd/>
              <w:spacing w:after="0"/>
              <w:textAlignment w:val="auto"/>
              <w:rPr>
                <w:rFonts w:eastAsia="MS Mincho"/>
                <w:highlight w:val="yellow"/>
                <w:lang w:val="en-US" w:eastAsia="ja-JP"/>
              </w:rPr>
            </w:pPr>
            <w:r w:rsidRPr="00F03844">
              <w:rPr>
                <w:rFonts w:eastAsia="MS Mincho"/>
                <w:highlight w:val="yellow"/>
                <w:lang w:val="en-US" w:eastAsia="ja-JP"/>
              </w:rPr>
              <w:t xml:space="preserve">i.e., when UE is configured for NR, </w:t>
            </w:r>
            <w:r w:rsidRPr="00F03844">
              <w:rPr>
                <w:rFonts w:eastAsia="MS Mincho"/>
                <w:color w:val="FF0000"/>
                <w:highlight w:val="yellow"/>
                <w:lang w:val="en-US" w:eastAsia="ja-JP"/>
              </w:rPr>
              <w:t xml:space="preserve">P_LTE can be configured </w:t>
            </w:r>
            <w:r w:rsidRPr="00F03844">
              <w:rPr>
                <w:rFonts w:eastAsia="MS Mincho"/>
                <w:highlight w:val="yellow"/>
                <w:lang w:val="en-US" w:eastAsia="ja-JP"/>
              </w:rPr>
              <w:t xml:space="preserve">up to </w:t>
            </w:r>
            <w:proofErr w:type="spellStart"/>
            <w:r w:rsidRPr="00F03844">
              <w:rPr>
                <w:rFonts w:eastAsia="MS Mincho"/>
                <w:highlight w:val="yellow"/>
                <w:lang w:val="en-US" w:eastAsia="ja-JP"/>
              </w:rPr>
              <w:t>P_cmax</w:t>
            </w:r>
            <w:proofErr w:type="spellEnd"/>
            <w:r w:rsidRPr="00F03844">
              <w:rPr>
                <w:rFonts w:eastAsia="MS Mincho"/>
                <w:highlight w:val="yellow"/>
                <w:lang w:val="en-US" w:eastAsia="ja-JP"/>
              </w:rPr>
              <w:t xml:space="preserve"> </w:t>
            </w:r>
            <w:proofErr w:type="gramStart"/>
            <w:r w:rsidRPr="00F03844">
              <w:rPr>
                <w:rFonts w:eastAsia="MS Mincho"/>
                <w:highlight w:val="yellow"/>
                <w:lang w:val="en-US" w:eastAsia="ja-JP"/>
              </w:rPr>
              <w:t xml:space="preserve">and  </w:t>
            </w:r>
            <w:r w:rsidRPr="00F03844">
              <w:rPr>
                <w:rFonts w:eastAsia="MS Mincho"/>
                <w:color w:val="FF0000"/>
                <w:highlight w:val="yellow"/>
                <w:lang w:val="en-US" w:eastAsia="ja-JP"/>
              </w:rPr>
              <w:t>P</w:t>
            </w:r>
            <w:proofErr w:type="gramEnd"/>
            <w:r w:rsidRPr="00F03844">
              <w:rPr>
                <w:rFonts w:eastAsia="MS Mincho"/>
                <w:color w:val="FF0000"/>
                <w:highlight w:val="yellow"/>
                <w:lang w:val="en-US" w:eastAsia="ja-JP"/>
              </w:rPr>
              <w:t xml:space="preserve">_NR can be configured </w:t>
            </w:r>
            <w:r w:rsidRPr="00F03844">
              <w:rPr>
                <w:rFonts w:eastAsia="MS Mincho"/>
                <w:highlight w:val="yellow"/>
                <w:lang w:val="en-US" w:eastAsia="ja-JP"/>
              </w:rPr>
              <w:t xml:space="preserve">up to </w:t>
            </w:r>
            <w:proofErr w:type="spellStart"/>
            <w:r w:rsidRPr="00F03844">
              <w:rPr>
                <w:rFonts w:eastAsia="MS Mincho"/>
                <w:highlight w:val="yellow"/>
                <w:lang w:val="en-US" w:eastAsia="ja-JP"/>
              </w:rPr>
              <w:t>P_cmax</w:t>
            </w:r>
            <w:proofErr w:type="spellEnd"/>
            <w:r w:rsidRPr="00F03844">
              <w:rPr>
                <w:rFonts w:eastAsia="MS Mincho"/>
                <w:highlight w:val="yellow"/>
                <w:lang w:val="en-US" w:eastAsia="ja-JP"/>
              </w:rPr>
              <w:t xml:space="preserve">. </w:t>
            </w:r>
          </w:p>
          <w:p w14:paraId="6AF2555D" w14:textId="77777777" w:rsidR="00F03844" w:rsidRDefault="00F03844" w:rsidP="00F03844">
            <w:pPr>
              <w:numPr>
                <w:ilvl w:val="2"/>
                <w:numId w:val="30"/>
              </w:numPr>
              <w:tabs>
                <w:tab w:val="left" w:pos="1440"/>
              </w:tabs>
              <w:overflowPunct/>
              <w:autoSpaceDE/>
              <w:autoSpaceDN/>
              <w:adjustRightInd/>
              <w:spacing w:after="0"/>
              <w:textAlignment w:val="auto"/>
              <w:rPr>
                <w:rFonts w:eastAsia="MS Mincho"/>
                <w:lang w:val="en-US" w:eastAsia="ja-JP"/>
              </w:rPr>
            </w:pPr>
            <w:proofErr w:type="gramStart"/>
            <w:r>
              <w:rPr>
                <w:rFonts w:eastAsia="MS Mincho"/>
                <w:lang w:val="en-US" w:eastAsia="ja-JP"/>
              </w:rPr>
              <w:t>e.g.</w:t>
            </w:r>
            <w:proofErr w:type="gramEnd"/>
            <w:r>
              <w:rPr>
                <w:rFonts w:eastAsia="MS Mincho"/>
                <w:lang w:val="en-US" w:eastAsia="ja-JP"/>
              </w:rPr>
              <w:t xml:space="preserve"> P_LTE + P_NR &gt; </w:t>
            </w:r>
            <w:proofErr w:type="spellStart"/>
            <w:r>
              <w:rPr>
                <w:rFonts w:eastAsia="MS Mincho"/>
                <w:lang w:val="en-US" w:eastAsia="ja-JP"/>
              </w:rPr>
              <w:t>P_cmax</w:t>
            </w:r>
            <w:proofErr w:type="spellEnd"/>
            <w:r>
              <w:rPr>
                <w:rFonts w:eastAsia="MS Mincho"/>
                <w:lang w:val="en-US" w:eastAsia="ja-JP"/>
              </w:rPr>
              <w:t xml:space="preserve"> or P_LTE + P_NR = </w:t>
            </w:r>
            <w:proofErr w:type="spellStart"/>
            <w:r>
              <w:rPr>
                <w:rFonts w:eastAsia="MS Mincho"/>
                <w:lang w:val="en-US" w:eastAsia="ja-JP"/>
              </w:rPr>
              <w:t>P_cmax</w:t>
            </w:r>
            <w:proofErr w:type="spellEnd"/>
          </w:p>
          <w:p w14:paraId="6DC1C54C" w14:textId="77777777" w:rsidR="00F03844" w:rsidRDefault="00F03844" w:rsidP="00F03844">
            <w:pPr>
              <w:numPr>
                <w:ilvl w:val="1"/>
                <w:numId w:val="30"/>
              </w:numPr>
              <w:tabs>
                <w:tab w:val="left" w:pos="1440"/>
              </w:tabs>
              <w:overflowPunct/>
              <w:autoSpaceDE/>
              <w:autoSpaceDN/>
              <w:adjustRightInd/>
              <w:spacing w:after="0"/>
              <w:textAlignment w:val="auto"/>
              <w:rPr>
                <w:rFonts w:eastAsia="MS Mincho"/>
                <w:lang w:val="en-US" w:eastAsia="ja-JP"/>
              </w:rPr>
            </w:pPr>
            <w:r>
              <w:rPr>
                <w:rFonts w:eastAsia="MS Mincho"/>
                <w:lang w:val="en-US" w:eastAsia="ja-JP"/>
              </w:rPr>
              <w:t>Signaling details for P_LTE, P_NR are left to RAN2, RAN4.</w:t>
            </w:r>
          </w:p>
          <w:p w14:paraId="3DBADFD5" w14:textId="77777777" w:rsidR="00F03844" w:rsidRDefault="00F03844" w:rsidP="00F03844">
            <w:pPr>
              <w:numPr>
                <w:ilvl w:val="1"/>
                <w:numId w:val="30"/>
              </w:numPr>
              <w:tabs>
                <w:tab w:val="left" w:pos="1440"/>
              </w:tabs>
              <w:overflowPunct/>
              <w:autoSpaceDE/>
              <w:autoSpaceDN/>
              <w:adjustRightInd/>
              <w:spacing w:after="0"/>
              <w:textAlignment w:val="auto"/>
              <w:rPr>
                <w:rFonts w:eastAsia="MS Mincho"/>
                <w:lang w:val="en-US" w:eastAsia="ja-JP"/>
              </w:rPr>
            </w:pPr>
            <w:r>
              <w:rPr>
                <w:rFonts w:eastAsia="MS Mincho"/>
                <w:lang w:val="en-US" w:eastAsia="ja-JP"/>
              </w:rPr>
              <w:t>Note: ‘</w:t>
            </w:r>
            <w:proofErr w:type="spellStart"/>
            <w:r>
              <w:rPr>
                <w:rFonts w:eastAsia="MS Mincho"/>
                <w:lang w:val="en-US" w:eastAsia="ja-JP"/>
              </w:rPr>
              <w:t>P_cmax</w:t>
            </w:r>
            <w:proofErr w:type="spellEnd"/>
            <w:r>
              <w:rPr>
                <w:rFonts w:eastAsia="MS Mincho"/>
                <w:lang w:val="en-US" w:eastAsia="ja-JP"/>
              </w:rPr>
              <w:t xml:space="preserve">’ is a limit that is </w:t>
            </w:r>
            <w:proofErr w:type="gramStart"/>
            <w:r>
              <w:rPr>
                <w:rFonts w:eastAsia="MS Mincho"/>
                <w:lang w:val="en-US" w:eastAsia="ja-JP"/>
              </w:rPr>
              <w:t>similar to</w:t>
            </w:r>
            <w:proofErr w:type="gramEnd"/>
            <w:r>
              <w:rPr>
                <w:rFonts w:eastAsia="MS Mincho"/>
                <w:lang w:val="en-US" w:eastAsia="ja-JP"/>
              </w:rPr>
              <w:t xml:space="preserve"> ‘The configured maximum UE output power’ that was specified for LTE.</w:t>
            </w:r>
          </w:p>
          <w:p w14:paraId="4529C585" w14:textId="77777777" w:rsidR="00F03844" w:rsidRDefault="00F03844" w:rsidP="00F03844">
            <w:pPr>
              <w:numPr>
                <w:ilvl w:val="1"/>
                <w:numId w:val="30"/>
              </w:numPr>
              <w:tabs>
                <w:tab w:val="left" w:pos="1440"/>
              </w:tabs>
              <w:overflowPunct/>
              <w:autoSpaceDE/>
              <w:autoSpaceDN/>
              <w:adjustRightInd/>
              <w:spacing w:after="0"/>
              <w:textAlignment w:val="auto"/>
              <w:rPr>
                <w:rFonts w:eastAsia="MS Mincho"/>
                <w:lang w:val="en-US" w:eastAsia="ja-JP"/>
              </w:rPr>
            </w:pPr>
            <w:r>
              <w:rPr>
                <w:rFonts w:eastAsia="MS Mincho"/>
                <w:lang w:val="en-US" w:eastAsia="ja-JP"/>
              </w:rPr>
              <w:t>Note: The network will still have flexibility to prioritize or reserve certain NR transmission power depending on network implementation</w:t>
            </w:r>
          </w:p>
          <w:p w14:paraId="6E8B62AB" w14:textId="77777777" w:rsidR="00F03844" w:rsidRDefault="00F03844" w:rsidP="00F03844">
            <w:pPr>
              <w:numPr>
                <w:ilvl w:val="1"/>
                <w:numId w:val="30"/>
              </w:numPr>
              <w:tabs>
                <w:tab w:val="left" w:pos="1440"/>
              </w:tabs>
              <w:overflowPunct/>
              <w:autoSpaceDE/>
              <w:autoSpaceDN/>
              <w:adjustRightInd/>
              <w:spacing w:after="0"/>
              <w:textAlignment w:val="auto"/>
              <w:rPr>
                <w:rFonts w:eastAsia="MS Mincho"/>
                <w:lang w:val="en-US" w:eastAsia="ja-JP"/>
              </w:rPr>
            </w:pPr>
            <w:r>
              <w:rPr>
                <w:rFonts w:eastAsia="MS Mincho"/>
                <w:lang w:val="en-US" w:eastAsia="ja-JP"/>
              </w:rPr>
              <w:t xml:space="preserve">All UEs are mandated to handle P_LTE + P_NR = </w:t>
            </w:r>
            <w:proofErr w:type="spellStart"/>
            <w:r>
              <w:rPr>
                <w:rFonts w:eastAsia="MS Mincho"/>
                <w:lang w:val="en-US" w:eastAsia="ja-JP"/>
              </w:rPr>
              <w:t>P_cmax</w:t>
            </w:r>
            <w:proofErr w:type="spellEnd"/>
            <w:r>
              <w:rPr>
                <w:rFonts w:eastAsia="MS Mincho"/>
                <w:lang w:val="en-US" w:eastAsia="ja-JP"/>
              </w:rPr>
              <w:t xml:space="preserve"> while handling of P_LTE + P_NR &gt; </w:t>
            </w:r>
            <w:proofErr w:type="spellStart"/>
            <w:r>
              <w:rPr>
                <w:rFonts w:eastAsia="MS Mincho"/>
                <w:lang w:val="en-US" w:eastAsia="ja-JP"/>
              </w:rPr>
              <w:t>P_cmax</w:t>
            </w:r>
            <w:proofErr w:type="spellEnd"/>
            <w:r>
              <w:rPr>
                <w:rFonts w:eastAsia="MS Mincho"/>
                <w:lang w:val="en-US" w:eastAsia="ja-JP"/>
              </w:rPr>
              <w:t xml:space="preserve"> depends on UE capability</w:t>
            </w:r>
          </w:p>
          <w:p w14:paraId="745534C7" w14:textId="77777777" w:rsidR="00F03844" w:rsidRDefault="00F03844" w:rsidP="00F03844">
            <w:pPr>
              <w:numPr>
                <w:ilvl w:val="1"/>
                <w:numId w:val="30"/>
              </w:numPr>
              <w:tabs>
                <w:tab w:val="left" w:pos="1440"/>
              </w:tabs>
              <w:overflowPunct/>
              <w:autoSpaceDE/>
              <w:autoSpaceDN/>
              <w:adjustRightInd/>
              <w:spacing w:after="0"/>
              <w:textAlignment w:val="auto"/>
              <w:rPr>
                <w:rFonts w:eastAsia="MS Mincho"/>
                <w:lang w:val="en-US" w:eastAsia="ja-JP"/>
              </w:rPr>
            </w:pPr>
            <w:r>
              <w:rPr>
                <w:rFonts w:eastAsia="MS Mincho"/>
                <w:lang w:val="en-US" w:eastAsia="ja-JP"/>
              </w:rPr>
              <w:t xml:space="preserve">At least, when DL/UL LTE </w:t>
            </w:r>
            <w:proofErr w:type="spellStart"/>
            <w:r>
              <w:rPr>
                <w:rFonts w:eastAsia="MS Mincho"/>
                <w:lang w:val="en-US" w:eastAsia="ja-JP"/>
              </w:rPr>
              <w:t>sTTI</w:t>
            </w:r>
            <w:proofErr w:type="spellEnd"/>
            <w:r>
              <w:rPr>
                <w:rFonts w:eastAsia="MS Mincho"/>
                <w:lang w:val="en-US" w:eastAsia="ja-JP"/>
              </w:rPr>
              <w:t xml:space="preserve">/reduced UE processing </w:t>
            </w:r>
            <w:proofErr w:type="gramStart"/>
            <w:r>
              <w:rPr>
                <w:rFonts w:eastAsia="MS Mincho"/>
                <w:lang w:val="en-US" w:eastAsia="ja-JP"/>
              </w:rPr>
              <w:t>time based</w:t>
            </w:r>
            <w:proofErr w:type="gramEnd"/>
            <w:r>
              <w:rPr>
                <w:rFonts w:eastAsia="MS Mincho"/>
                <w:lang w:val="en-US" w:eastAsia="ja-JP"/>
              </w:rPr>
              <w:t xml:space="preserve"> operation is not configured for the UE, if total transmit power exceeds </w:t>
            </w:r>
            <w:proofErr w:type="spellStart"/>
            <w:r>
              <w:rPr>
                <w:rFonts w:eastAsia="MS Mincho"/>
                <w:lang w:val="en-US" w:eastAsia="ja-JP"/>
              </w:rPr>
              <w:t>P_cmax</w:t>
            </w:r>
            <w:proofErr w:type="spellEnd"/>
            <w:r>
              <w:rPr>
                <w:rFonts w:eastAsia="MS Mincho"/>
                <w:lang w:val="en-US" w:eastAsia="ja-JP"/>
              </w:rPr>
              <w:t xml:space="preserve"> when there is simultaneous NR and LTE UL </w:t>
            </w:r>
            <w:proofErr w:type="spellStart"/>
            <w:r>
              <w:rPr>
                <w:rFonts w:eastAsia="MS Mincho"/>
                <w:lang w:val="en-US" w:eastAsia="ja-JP"/>
              </w:rPr>
              <w:t>tx</w:t>
            </w:r>
            <w:proofErr w:type="spellEnd"/>
            <w:r>
              <w:rPr>
                <w:rFonts w:eastAsia="MS Mincho"/>
                <w:lang w:val="en-US" w:eastAsia="ja-JP"/>
              </w:rPr>
              <w:t xml:space="preserve">, </w:t>
            </w:r>
          </w:p>
          <w:p w14:paraId="03D69D79" w14:textId="77777777" w:rsidR="00F03844" w:rsidRDefault="00F03844" w:rsidP="00F03844">
            <w:pPr>
              <w:numPr>
                <w:ilvl w:val="2"/>
                <w:numId w:val="30"/>
              </w:numPr>
              <w:tabs>
                <w:tab w:val="left" w:pos="1440"/>
              </w:tabs>
              <w:overflowPunct/>
              <w:autoSpaceDE/>
              <w:autoSpaceDN/>
              <w:adjustRightInd/>
              <w:spacing w:after="0"/>
              <w:textAlignment w:val="auto"/>
              <w:rPr>
                <w:rFonts w:eastAsia="MS Mincho"/>
                <w:lang w:val="en-US" w:eastAsia="ja-JP"/>
              </w:rPr>
            </w:pPr>
            <w:r>
              <w:rPr>
                <w:rFonts w:eastAsia="MS Mincho"/>
                <w:lang w:val="en-US" w:eastAsia="ja-JP"/>
              </w:rPr>
              <w:t>For NR, UE scales down/drops NR transmission and NR power scaling details are left to UE implementation (note: it is not intended to have RAN4 test from RAN1 perspective)</w:t>
            </w:r>
          </w:p>
          <w:p w14:paraId="5B63E314" w14:textId="77777777" w:rsidR="00F03844" w:rsidRDefault="00F03844" w:rsidP="00F03844">
            <w:pPr>
              <w:numPr>
                <w:ilvl w:val="3"/>
                <w:numId w:val="30"/>
              </w:numPr>
              <w:tabs>
                <w:tab w:val="left" w:pos="1440"/>
              </w:tabs>
              <w:overflowPunct/>
              <w:autoSpaceDE/>
              <w:autoSpaceDN/>
              <w:adjustRightInd/>
              <w:spacing w:after="0"/>
              <w:textAlignment w:val="auto"/>
              <w:rPr>
                <w:rFonts w:eastAsia="MS Mincho"/>
                <w:lang w:val="en-US" w:eastAsia="ja-JP"/>
              </w:rPr>
            </w:pPr>
            <w:r>
              <w:rPr>
                <w:rFonts w:eastAsia="MS Mincho"/>
                <w:lang w:val="en-US" w:eastAsia="ja-JP"/>
              </w:rPr>
              <w:t xml:space="preserve">If there are two or more UL carriers, the power scaling or </w:t>
            </w:r>
            <w:proofErr w:type="spellStart"/>
            <w:r>
              <w:rPr>
                <w:rFonts w:eastAsia="MS Mincho"/>
                <w:lang w:val="en-US" w:eastAsia="ja-JP"/>
              </w:rPr>
              <w:t>tx</w:t>
            </w:r>
            <w:proofErr w:type="spellEnd"/>
            <w:r>
              <w:rPr>
                <w:rFonts w:eastAsia="MS Mincho"/>
                <w:lang w:val="en-US" w:eastAsia="ja-JP"/>
              </w:rPr>
              <w:t xml:space="preserve"> dropping can be performed for each of the UL carriers separately or jointly up to UE implementation</w:t>
            </w:r>
          </w:p>
          <w:p w14:paraId="220B51FB" w14:textId="77777777" w:rsidR="00F03844" w:rsidRDefault="00F03844" w:rsidP="00F03844">
            <w:pPr>
              <w:numPr>
                <w:ilvl w:val="2"/>
                <w:numId w:val="30"/>
              </w:numPr>
              <w:tabs>
                <w:tab w:val="left" w:pos="1440"/>
              </w:tabs>
              <w:overflowPunct/>
              <w:autoSpaceDE/>
              <w:autoSpaceDN/>
              <w:adjustRightInd/>
              <w:spacing w:after="0"/>
              <w:textAlignment w:val="auto"/>
              <w:rPr>
                <w:rFonts w:eastAsia="MS Mincho"/>
                <w:lang w:val="en-US" w:eastAsia="ja-JP"/>
              </w:rPr>
            </w:pPr>
            <w:r>
              <w:rPr>
                <w:rFonts w:eastAsia="MS Mincho"/>
                <w:lang w:val="en-US" w:eastAsia="ja-JP"/>
              </w:rPr>
              <w:t>For LTE, no change in power control procedure</w:t>
            </w:r>
          </w:p>
          <w:p w14:paraId="2754CA40" w14:textId="77777777" w:rsidR="00F03844" w:rsidRDefault="00F03844" w:rsidP="00F03844">
            <w:pPr>
              <w:numPr>
                <w:ilvl w:val="1"/>
                <w:numId w:val="30"/>
              </w:numPr>
              <w:tabs>
                <w:tab w:val="left" w:pos="1440"/>
              </w:tabs>
              <w:overflowPunct/>
              <w:autoSpaceDE/>
              <w:autoSpaceDN/>
              <w:adjustRightInd/>
              <w:spacing w:after="0"/>
              <w:textAlignment w:val="auto"/>
              <w:rPr>
                <w:rFonts w:eastAsia="MS Mincho"/>
                <w:lang w:val="en-US" w:eastAsia="ja-JP"/>
              </w:rPr>
            </w:pPr>
            <w:r>
              <w:rPr>
                <w:rFonts w:eastAsia="MS Mincho"/>
                <w:lang w:val="en-US" w:eastAsia="ja-JP"/>
              </w:rPr>
              <w:t xml:space="preserve">FFS the case when DL/UL LTE </w:t>
            </w:r>
            <w:proofErr w:type="spellStart"/>
            <w:r>
              <w:rPr>
                <w:rFonts w:eastAsia="MS Mincho"/>
                <w:lang w:val="en-US" w:eastAsia="ja-JP"/>
              </w:rPr>
              <w:t>sTTI</w:t>
            </w:r>
            <w:proofErr w:type="spellEnd"/>
            <w:r>
              <w:rPr>
                <w:rFonts w:eastAsia="MS Mincho"/>
                <w:lang w:val="en-US" w:eastAsia="ja-JP"/>
              </w:rPr>
              <w:t xml:space="preserve">/reduced UE processing </w:t>
            </w:r>
            <w:proofErr w:type="gramStart"/>
            <w:r>
              <w:rPr>
                <w:rFonts w:eastAsia="MS Mincho"/>
                <w:lang w:val="en-US" w:eastAsia="ja-JP"/>
              </w:rPr>
              <w:t>time based</w:t>
            </w:r>
            <w:proofErr w:type="gramEnd"/>
            <w:r>
              <w:rPr>
                <w:rFonts w:eastAsia="MS Mincho"/>
                <w:lang w:val="en-US" w:eastAsia="ja-JP"/>
              </w:rPr>
              <w:t xml:space="preserve"> operation is configured for the UE</w:t>
            </w:r>
          </w:p>
          <w:p w14:paraId="7ADFB856" w14:textId="77777777" w:rsidR="00F03844" w:rsidRDefault="00F03844" w:rsidP="00F03844">
            <w:pPr>
              <w:numPr>
                <w:ilvl w:val="1"/>
                <w:numId w:val="30"/>
              </w:numPr>
              <w:tabs>
                <w:tab w:val="left" w:pos="1440"/>
              </w:tabs>
              <w:overflowPunct/>
              <w:autoSpaceDE/>
              <w:autoSpaceDN/>
              <w:adjustRightInd/>
              <w:spacing w:after="0"/>
              <w:textAlignment w:val="auto"/>
              <w:rPr>
                <w:rFonts w:eastAsia="MS Mincho"/>
                <w:lang w:val="en-US" w:eastAsia="ja-JP"/>
              </w:rPr>
            </w:pPr>
            <w:r>
              <w:rPr>
                <w:rFonts w:eastAsia="MS Mincho"/>
                <w:lang w:val="en-US" w:eastAsia="ja-JP"/>
              </w:rPr>
              <w:t>The following is FFS</w:t>
            </w:r>
          </w:p>
          <w:p w14:paraId="73AFB932" w14:textId="77777777" w:rsidR="00F03844" w:rsidRDefault="00F03844" w:rsidP="00F03844">
            <w:pPr>
              <w:numPr>
                <w:ilvl w:val="2"/>
                <w:numId w:val="30"/>
              </w:numPr>
              <w:tabs>
                <w:tab w:val="left" w:pos="1440"/>
              </w:tabs>
              <w:overflowPunct/>
              <w:autoSpaceDE/>
              <w:autoSpaceDN/>
              <w:adjustRightInd/>
              <w:spacing w:after="0"/>
              <w:textAlignment w:val="auto"/>
              <w:rPr>
                <w:rFonts w:eastAsia="MS Mincho"/>
                <w:lang w:val="en-US" w:eastAsia="ja-JP"/>
              </w:rPr>
            </w:pPr>
            <w:r>
              <w:rPr>
                <w:rFonts w:eastAsia="MS Mincho"/>
                <w:lang w:val="en-US" w:eastAsia="ja-JP"/>
              </w:rPr>
              <w:t xml:space="preserve">The case when P_NR is configured such that P_NR &lt; </w:t>
            </w:r>
            <w:proofErr w:type="spellStart"/>
            <w:r>
              <w:rPr>
                <w:rFonts w:eastAsia="MS Mincho"/>
                <w:lang w:val="en-US" w:eastAsia="ja-JP"/>
              </w:rPr>
              <w:t>P_cmax</w:t>
            </w:r>
            <w:proofErr w:type="spellEnd"/>
            <w:r>
              <w:rPr>
                <w:rFonts w:eastAsia="MS Mincho"/>
                <w:lang w:val="en-US" w:eastAsia="ja-JP"/>
              </w:rPr>
              <w:t xml:space="preserve">, and UE can use power up to </w:t>
            </w:r>
            <w:proofErr w:type="spellStart"/>
            <w:r>
              <w:rPr>
                <w:rFonts w:eastAsia="MS Mincho"/>
                <w:lang w:val="en-US" w:eastAsia="ja-JP"/>
              </w:rPr>
              <w:t>P_cmax</w:t>
            </w:r>
            <w:proofErr w:type="spellEnd"/>
            <w:r>
              <w:rPr>
                <w:rFonts w:eastAsia="MS Mincho"/>
                <w:lang w:val="en-US" w:eastAsia="ja-JP"/>
              </w:rPr>
              <w:t xml:space="preserve"> in NR when it knows that there will be no UL transmission in LTE by semi-static configuration (e.g., measurement gap, DL/UL configuration)</w:t>
            </w:r>
          </w:p>
          <w:p w14:paraId="2B5617F9" w14:textId="77777777" w:rsidR="00F03844" w:rsidRDefault="00F03844" w:rsidP="00F03844">
            <w:pPr>
              <w:rPr>
                <w:rFonts w:eastAsia="MS Mincho"/>
                <w:b/>
                <w:lang w:val="en-US" w:eastAsia="ja-JP"/>
              </w:rPr>
            </w:pPr>
          </w:p>
          <w:p w14:paraId="10025A9C" w14:textId="3BA7B1A0" w:rsidR="00F03844" w:rsidRDefault="00F03844" w:rsidP="00F03844">
            <w:pPr>
              <w:spacing w:after="0"/>
              <w:rPr>
                <w:rFonts w:eastAsia="MS Mincho"/>
                <w:lang w:val="en-US" w:eastAsia="ja-JP"/>
              </w:rPr>
            </w:pPr>
            <w:hyperlink r:id="rId21" w:history="1">
              <w:r>
                <w:rPr>
                  <w:rStyle w:val="Hyperlink"/>
                  <w:rFonts w:eastAsia="MS Mincho"/>
                  <w:b/>
                  <w:lang w:val="en-US" w:eastAsia="ja-JP"/>
                </w:rPr>
                <w:t>R1-1715237</w:t>
              </w:r>
            </w:hyperlink>
            <w:r>
              <w:rPr>
                <w:rFonts w:eastAsia="MS Mincho"/>
                <w:lang w:val="en-US" w:eastAsia="ja-JP"/>
              </w:rPr>
              <w:tab/>
              <w:t>Draft LS on power sharing for LTE-NR Dual Connectivity</w:t>
            </w:r>
            <w:r>
              <w:rPr>
                <w:rFonts w:eastAsia="MS Mincho"/>
                <w:lang w:val="en-US" w:eastAsia="ja-JP"/>
              </w:rPr>
              <w:tab/>
              <w:t>Ericsson</w:t>
            </w:r>
          </w:p>
          <w:p w14:paraId="650E52A5" w14:textId="599E3622" w:rsidR="00F03844" w:rsidRPr="00F03844" w:rsidRDefault="00F03844" w:rsidP="001F201D">
            <w:pPr>
              <w:rPr>
                <w:rFonts w:eastAsia="MS Mincho"/>
                <w:lang w:val="en-US" w:eastAsia="ja-JP"/>
              </w:rPr>
            </w:pPr>
            <w:r>
              <w:rPr>
                <w:rFonts w:eastAsia="MS Mincho"/>
                <w:lang w:val="en-US" w:eastAsia="ja-JP"/>
              </w:rPr>
              <w:t xml:space="preserve">Agreed in </w:t>
            </w:r>
            <w:hyperlink r:id="rId22" w:history="1">
              <w:r>
                <w:rPr>
                  <w:rStyle w:val="Hyperlink"/>
                  <w:rFonts w:eastAsia="MS Mincho"/>
                  <w:highlight w:val="green"/>
                  <w:lang w:val="en-US" w:eastAsia="ja-JP"/>
                </w:rPr>
                <w:t>R1-1715313</w:t>
              </w:r>
            </w:hyperlink>
          </w:p>
        </w:tc>
      </w:tr>
    </w:tbl>
    <w:p w14:paraId="6DF043FE" w14:textId="2E02DE73" w:rsidR="00F03844" w:rsidRDefault="00F03844" w:rsidP="001F201D"/>
    <w:p w14:paraId="3F1CADAE" w14:textId="7E9DCC55" w:rsidR="009371C0" w:rsidRDefault="009371C0" w:rsidP="001F201D">
      <w:r>
        <w:rPr>
          <w:b/>
          <w:bCs/>
        </w:rPr>
        <w:t>Observation 1</w:t>
      </w:r>
      <w:r>
        <w:t xml:space="preserve">: There is no functional need to configure the </w:t>
      </w:r>
      <w:r w:rsidRPr="00593805">
        <w:rPr>
          <w:i/>
          <w:iCs/>
        </w:rPr>
        <w:t>p-</w:t>
      </w:r>
      <w:proofErr w:type="spellStart"/>
      <w:r w:rsidRPr="00593805">
        <w:rPr>
          <w:i/>
          <w:iCs/>
        </w:rPr>
        <w:t>MaxEUTRA</w:t>
      </w:r>
      <w:proofErr w:type="spellEnd"/>
      <w:r>
        <w:t xml:space="preserve"> and </w:t>
      </w:r>
      <w:r w:rsidRPr="00593805">
        <w:rPr>
          <w:i/>
          <w:iCs/>
        </w:rPr>
        <w:t>p-NR-</w:t>
      </w:r>
      <w:r w:rsidRPr="009371C0">
        <w:rPr>
          <w:i/>
          <w:iCs/>
        </w:rPr>
        <w:t xml:space="preserve">FR1 </w:t>
      </w:r>
      <w:r>
        <w:t>when dynamic power sharing or TDM sharing is used</w:t>
      </w:r>
      <w:r w:rsidR="00BE50AE">
        <w:t>.</w:t>
      </w:r>
    </w:p>
    <w:p w14:paraId="64ECC40E" w14:textId="1D7A79C2" w:rsidR="009371C0" w:rsidRDefault="009371C0" w:rsidP="001F201D">
      <w:r>
        <w:rPr>
          <w:b/>
          <w:bCs/>
        </w:rPr>
        <w:t xml:space="preserve">Observation 2: </w:t>
      </w:r>
      <w:r>
        <w:t xml:space="preserve">The </w:t>
      </w:r>
      <w:r w:rsidRPr="00593805">
        <w:rPr>
          <w:i/>
          <w:iCs/>
        </w:rPr>
        <w:t>p-</w:t>
      </w:r>
      <w:proofErr w:type="spellStart"/>
      <w:r w:rsidRPr="00593805">
        <w:rPr>
          <w:i/>
          <w:iCs/>
        </w:rPr>
        <w:t>MaxEUTRA</w:t>
      </w:r>
      <w:proofErr w:type="spellEnd"/>
      <w:r>
        <w:t xml:space="preserve"> and </w:t>
      </w:r>
      <w:r w:rsidRPr="00593805">
        <w:rPr>
          <w:i/>
          <w:iCs/>
        </w:rPr>
        <w:t>p-NR-</w:t>
      </w:r>
      <w:r w:rsidRPr="009371C0">
        <w:rPr>
          <w:i/>
          <w:iCs/>
        </w:rPr>
        <w:t xml:space="preserve">FR1 </w:t>
      </w:r>
      <w:r>
        <w:t xml:space="preserve">need to be configured when LTE and NR transmissions can take place at the same time and semi-static power sharing is used, </w:t>
      </w:r>
      <w:proofErr w:type="gramStart"/>
      <w:r>
        <w:t>e.g.</w:t>
      </w:r>
      <w:proofErr w:type="gramEnd"/>
      <w:r>
        <w:t xml:space="preserve"> because the UE doesn’t support dynamic power sharing</w:t>
      </w:r>
      <w:r w:rsidR="00BE50AE">
        <w:t>, or if there is some other reason why the network wants to cap the max Tx power of each RAT individually.</w:t>
      </w:r>
    </w:p>
    <w:p w14:paraId="471B3201" w14:textId="36ED63A7" w:rsidR="009371C0" w:rsidRDefault="009371C0" w:rsidP="001F201D">
      <w:r>
        <w:rPr>
          <w:b/>
          <w:bCs/>
        </w:rPr>
        <w:t xml:space="preserve">Proposal 1: </w:t>
      </w:r>
      <w:r>
        <w:t xml:space="preserve">Consider clarifying the above in TS 38.213 </w:t>
      </w:r>
    </w:p>
    <w:p w14:paraId="093EE10C" w14:textId="4B50F544" w:rsidR="00205A4B" w:rsidRPr="00205A4B" w:rsidRDefault="009371C0" w:rsidP="0005542F">
      <w:r>
        <w:rPr>
          <w:b/>
          <w:bCs/>
        </w:rPr>
        <w:t xml:space="preserve">Proposal 2: </w:t>
      </w:r>
      <w:r w:rsidR="0005542F">
        <w:t>Send a response LS to RAN5 according to the two observations above.</w:t>
      </w:r>
      <w:bookmarkEnd w:id="1"/>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E956E" w14:textId="77777777" w:rsidR="00AA161A" w:rsidRDefault="00AA161A">
      <w:r>
        <w:separator/>
      </w:r>
    </w:p>
  </w:endnote>
  <w:endnote w:type="continuationSeparator" w:id="0">
    <w:p w14:paraId="100C47E8" w14:textId="77777777" w:rsidR="00AA161A" w:rsidRDefault="00AA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DB5F4" w14:textId="77777777" w:rsidR="00AA161A" w:rsidRDefault="00AA161A">
      <w:r>
        <w:separator/>
      </w:r>
    </w:p>
  </w:footnote>
  <w:footnote w:type="continuationSeparator" w:id="0">
    <w:p w14:paraId="2EFC2D02" w14:textId="77777777" w:rsidR="00AA161A" w:rsidRDefault="00AA1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cs="Times New Roman" w:hint="default"/>
      </w:rPr>
    </w:lvl>
    <w:lvl w:ilvl="1" w:tplc="6DB64FB8">
      <w:numFmt w:val="bullet"/>
      <w:lvlText w:val="•"/>
      <w:lvlJc w:val="left"/>
      <w:pPr>
        <w:tabs>
          <w:tab w:val="num" w:pos="1440"/>
        </w:tabs>
        <w:ind w:left="1440" w:hanging="360"/>
      </w:pPr>
      <w:rPr>
        <w:rFonts w:ascii="Arial" w:hAnsi="Arial" w:cs="Times New Roman" w:hint="default"/>
      </w:rPr>
    </w:lvl>
    <w:lvl w:ilvl="2" w:tplc="C242CFC6">
      <w:numFmt w:val="bullet"/>
      <w:lvlText w:val="•"/>
      <w:lvlJc w:val="left"/>
      <w:pPr>
        <w:tabs>
          <w:tab w:val="num" w:pos="2160"/>
        </w:tabs>
        <w:ind w:left="2160" w:hanging="360"/>
      </w:pPr>
      <w:rPr>
        <w:rFonts w:ascii="Arial" w:hAnsi="Arial" w:cs="Times New Roman" w:hint="default"/>
      </w:rPr>
    </w:lvl>
    <w:lvl w:ilvl="3" w:tplc="5CEC1FB4">
      <w:numFmt w:val="bullet"/>
      <w:lvlText w:val="•"/>
      <w:lvlJc w:val="left"/>
      <w:pPr>
        <w:tabs>
          <w:tab w:val="num" w:pos="2880"/>
        </w:tabs>
        <w:ind w:left="2880" w:hanging="360"/>
      </w:pPr>
      <w:rPr>
        <w:rFonts w:ascii="Arial" w:hAnsi="Arial" w:cs="Times New Roman" w:hint="default"/>
      </w:rPr>
    </w:lvl>
    <w:lvl w:ilvl="4" w:tplc="A5462200">
      <w:start w:val="1"/>
      <w:numFmt w:val="bullet"/>
      <w:lvlText w:val="•"/>
      <w:lvlJc w:val="left"/>
      <w:pPr>
        <w:tabs>
          <w:tab w:val="num" w:pos="3600"/>
        </w:tabs>
        <w:ind w:left="3600" w:hanging="360"/>
      </w:pPr>
      <w:rPr>
        <w:rFonts w:ascii="Arial" w:hAnsi="Arial" w:cs="Times New Roman" w:hint="default"/>
      </w:rPr>
    </w:lvl>
    <w:lvl w:ilvl="5" w:tplc="D8A6145A">
      <w:start w:val="1"/>
      <w:numFmt w:val="bullet"/>
      <w:lvlText w:val="•"/>
      <w:lvlJc w:val="left"/>
      <w:pPr>
        <w:tabs>
          <w:tab w:val="num" w:pos="4320"/>
        </w:tabs>
        <w:ind w:left="4320" w:hanging="360"/>
      </w:pPr>
      <w:rPr>
        <w:rFonts w:ascii="Arial" w:hAnsi="Arial" w:cs="Times New Roman" w:hint="default"/>
      </w:rPr>
    </w:lvl>
    <w:lvl w:ilvl="6" w:tplc="3A7888D2">
      <w:start w:val="1"/>
      <w:numFmt w:val="bullet"/>
      <w:lvlText w:val="•"/>
      <w:lvlJc w:val="left"/>
      <w:pPr>
        <w:tabs>
          <w:tab w:val="num" w:pos="5040"/>
        </w:tabs>
        <w:ind w:left="5040" w:hanging="360"/>
      </w:pPr>
      <w:rPr>
        <w:rFonts w:ascii="Arial" w:hAnsi="Arial" w:cs="Times New Roman" w:hint="default"/>
      </w:rPr>
    </w:lvl>
    <w:lvl w:ilvl="7" w:tplc="621056D2">
      <w:start w:val="1"/>
      <w:numFmt w:val="bullet"/>
      <w:lvlText w:val="•"/>
      <w:lvlJc w:val="left"/>
      <w:pPr>
        <w:tabs>
          <w:tab w:val="num" w:pos="5760"/>
        </w:tabs>
        <w:ind w:left="5760" w:hanging="360"/>
      </w:pPr>
      <w:rPr>
        <w:rFonts w:ascii="Arial" w:hAnsi="Arial" w:cs="Times New Roman" w:hint="default"/>
      </w:rPr>
    </w:lvl>
    <w:lvl w:ilvl="8" w:tplc="433A6F6E">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4"/>
  </w:num>
  <w:num w:numId="3">
    <w:abstractNumId w:val="0"/>
  </w:num>
  <w:num w:numId="4">
    <w:abstractNumId w:val="3"/>
  </w:num>
  <w:num w:numId="5">
    <w:abstractNumId w:val="14"/>
  </w:num>
  <w:num w:numId="6">
    <w:abstractNumId w:val="25"/>
  </w:num>
  <w:num w:numId="7">
    <w:abstractNumId w:val="16"/>
  </w:num>
  <w:num w:numId="8">
    <w:abstractNumId w:val="13"/>
  </w:num>
  <w:num w:numId="9">
    <w:abstractNumId w:val="28"/>
  </w:num>
  <w:num w:numId="10">
    <w:abstractNumId w:val="5"/>
  </w:num>
  <w:num w:numId="11">
    <w:abstractNumId w:val="18"/>
  </w:num>
  <w:num w:numId="12">
    <w:abstractNumId w:val="4"/>
  </w:num>
  <w:num w:numId="13">
    <w:abstractNumId w:val="11"/>
  </w:num>
  <w:num w:numId="14">
    <w:abstractNumId w:val="22"/>
  </w:num>
  <w:num w:numId="15">
    <w:abstractNumId w:val="15"/>
  </w:num>
  <w:num w:numId="16">
    <w:abstractNumId w:val="2"/>
  </w:num>
  <w:num w:numId="17">
    <w:abstractNumId w:val="20"/>
  </w:num>
  <w:num w:numId="18">
    <w:abstractNumId w:val="12"/>
  </w:num>
  <w:num w:numId="19">
    <w:abstractNumId w:val="17"/>
  </w:num>
  <w:num w:numId="20">
    <w:abstractNumId w:val="27"/>
  </w:num>
  <w:num w:numId="21">
    <w:abstractNumId w:val="29"/>
  </w:num>
  <w:num w:numId="22">
    <w:abstractNumId w:val="19"/>
  </w:num>
  <w:num w:numId="23">
    <w:abstractNumId w:val="10"/>
  </w:num>
  <w:num w:numId="24">
    <w:abstractNumId w:val="6"/>
  </w:num>
  <w:num w:numId="25">
    <w:abstractNumId w:val="26"/>
  </w:num>
  <w:num w:numId="26">
    <w:abstractNumId w:val="23"/>
  </w:num>
  <w:num w:numId="27">
    <w:abstractNumId w:val="9"/>
  </w:num>
  <w:num w:numId="28">
    <w:abstractNumId w:val="8"/>
  </w:num>
  <w:num w:numId="29">
    <w:abstractNumId w:val="21"/>
  </w:num>
  <w:num w:numId="30">
    <w:abstractNumId w:val="1"/>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42F"/>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805"/>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23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C63"/>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371C0"/>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50AE"/>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14D"/>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3844"/>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38106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8-e/Docs/R1-2200873.zip" TargetMode="External"/><Relationship Id="rId18" Type="http://schemas.openxmlformats.org/officeDocument/2006/relationships/hyperlink" Target="file:///C:\Users\krantaah\Documents\My%20Documents\5G%20SCG\3GPP\RAN1-90\Tdocs\R1-1715083.zip" TargetMode="External"/><Relationship Id="rId3" Type="http://schemas.openxmlformats.org/officeDocument/2006/relationships/customXml" Target="../customXml/item3.xml"/><Relationship Id="rId21" Type="http://schemas.openxmlformats.org/officeDocument/2006/relationships/hyperlink" Target="file:///C:\Users\krantaah\Documents\My%20Documents\5G%20SCG\3GPP\RAN1-90\Tdocs\R1-171523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krantaah\Documents\My%20Documents\5G%20SCG\3GPP\RAN1-90\Tdocs\R1-1714460.zip" TargetMode="External"/><Relationship Id="rId2" Type="http://schemas.openxmlformats.org/officeDocument/2006/relationships/customXml" Target="../customXml/item2.xml"/><Relationship Id="rId16" Type="http://schemas.openxmlformats.org/officeDocument/2006/relationships/hyperlink" Target="file:///C:\Users\krantaah\Documents\My%20Documents\5G%20SCG\3GPP\RAN1-90\Tdocs\R1-1714118.zip" TargetMode="External"/><Relationship Id="rId20" Type="http://schemas.openxmlformats.org/officeDocument/2006/relationships/hyperlink" Target="file:///C:\Users\krantaah\Documents\My%20Documents\5G%20SCG\3GPP\RAN1-90\Tdocs\R1-171518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krantaah\Documents\My%20Documents\5G%20SCG\3GPP\RAN1-90\Tdocs\R1-1713478.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C:\Users\krantaah\Documents\My%20Documents\5G%20SCG\3GPP\RAN1-90\Tdocs\R1-171509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krantaah\Documents\My%20Documents\5G%20SCG\3GPP\RAN1-90\Tdocs\R1-1713289.zip" TargetMode="External"/><Relationship Id="rId22" Type="http://schemas.openxmlformats.org/officeDocument/2006/relationships/hyperlink" Target="file:///C:\Users\krantaah\Documents\My%20Documents\5G%20SCG\3GPP\RAN1-90\Tdocs\R1-17153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5AIRPNAIUNRU-1830940522-14076</_dlc_DocId>
    <_dlc_DocIdUrl xmlns="71c5aaf6-e6ce-465b-b873-5148d2a4c105">
      <Url>https://nokia.sharepoint.com/sites/c5g/5gradio/_layouts/15/DocIdRedir.aspx?ID=5AIRPNAIUNRU-1830940522-14076</Url>
      <Description>5AIRPNAIUNRU-1830940522-14076</Description>
    </_dlc_DocIdUrl>
    <HideFromDelve xmlns="71c5aaf6-e6ce-465b-b873-5148d2a4c105">false</HideFromDelve>
  </documentManagement>
</p:propertie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71c5aaf6-e6ce-465b-b873-5148d2a4c105"/>
    <ds:schemaRef ds:uri="http://purl.org/dc/terms/"/>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70</TotalTime>
  <Pages>2</Pages>
  <Words>927</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7</cp:revision>
  <cp:lastPrinted>2016-06-20T11:35:00Z</cp:lastPrinted>
  <dcterms:created xsi:type="dcterms:W3CDTF">2021-10-26T07:52:00Z</dcterms:created>
  <dcterms:modified xsi:type="dcterms:W3CDTF">2022-02-14T19:43:00Z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e49450e4-3910-4072-91e3-a0e876e50f0c</vt:lpwstr>
  </property>
</Properties>
</file>